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33F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УСЛОВИЯ ДОГОВОРА СРОЧНОГО ОТЗЫВНОГО БАНКОВСКОГО ВКЛАДА (ДЕПОЗИТА) «Весенний Плюс»</w:t>
      </w:r>
    </w:p>
    <w:bookmarkEnd w:id="0"/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Настоящие условия договора срочного отзывного банковского вклада (депозита) «Весенний Плюс» (далее - Условия) являются неотъемлемой частью договора срочного отзывного банковского вклада (депозита) «Весенний Плюс» (далее - Договор), заключаемого ОАО «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(далее -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физическим лицом (далее - Вкладчик), и определяют обязательные для сторон Договора права, обязанности и иные условия.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условия по вкладу (депозиту).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Размер минимальной суммы первоначального взноса во вклад (депозит) составляет: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белорусских рублях 50 (Пятьдесят) белорусских рублей;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долларах США 25 (Двадцать пять) долларов США;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евро составляет 25 (Двадцать пять) евро;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российских рублях 2 000 (Две тысячи) российских рублей.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Сумма вклада (депозита), валюта вклада (депозита), размер процентов, срок возврата вклада (депозита) и иные существенные условия, предусмотренные законодательством, указываются в Договоре.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Права и обязанности Сторон.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обязуется хранить банковскую тайну вклада (депозита) в порядке, предусмотренном законодательными актами.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Вкладчик обязуется: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81"/>
      <w:bookmarkEnd w:id="1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2.2.1. уведомлять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письменной форме не позднее, чем за 30 (Тридцать) рабочих дней о намерении получить сумму причисленных ко вкладу процентов в порядке, предусмотренном Договором;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2.2.2. в срок до 10 (Десяти) календарных дней с момента изменения информировать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 всех изменениях данных документа, удостоверяющего его личность и (или) места жительства (а также об изменении фамилии, имени, отчества, данных документа, удостоверяющего личность физического лица, на имя которого вносится вклад (депозит), - для Договора на имя другого лица).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право: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84"/>
      <w:bookmarkEnd w:id="2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2.3.1. в одностороннем порядке производить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перенумерацию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лицевого счета, без изменения номера договора, вызванную изменением законодательства, правил ведения бухгалтерского учета, реорганизацией (изменением организационной структуры)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изменением программного обеспечения, используемого для проведения операций, изменением лицевого счета по учету денежных средств, без предварительного уведомления Вкладчика и заключения дополнительного соглашения;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списывать платежным ордером, если иное не предусмотрено законодательством, со счета Вкладчика денежные средства, зачисленные на счет в результате технической ошибки;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Вкладчик имеет право: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на получение в порядке, определенном пунктом 2.2.1 настоящих Условий, суммы причисленных ко вкладу (депозиту) процентов;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распоряжаться вкладом (депозитом) лично либо через представителя;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выдавать доверенности и оформлять завещательные распоряжения по вкладу (депозиту) в соответствии с законодательством. Доверенности на получение представителем выплат и завещательные распоряжения правами на денежные средства по вкладу (депозиту) могут быть удостоверены непосредственно в подразделении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котором заключен Договор, если иное не установлено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законодательством;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получать выписки по вкладу (депозиту);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2.4.5. получить безналичным перечислением на Текущий счет сумму вклада (депозита) с начисленными по нему процентами в подразделении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отличном от места заключения Договора, в порядке, определенном пунктом 2.2.1 настоящих Условий;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совершать расходные операции безналичным путем и приходные операции наличным и безналичным путем, причем сумма расходных и приходных операций по вкладу (депозиту) при их совершении наличными денежными средствами или путем безналичного перечисления в соответствии с законодательством не может быть менее: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 (Одного) белорусского рубля для вкладов (депозитов) в белорусских рублях;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5 (Пяти) долларов США для вкладов (депозитов) в долларах США;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5 (Пяти) евро для вкладов (депозитов) в евро;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 (Ста) российских рублей для вкладов (депозитов) в российских рублях;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Вкладчик вправе потребовать, а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 предоставить по требованию Вкладчика не позднее 5 (Пяти) календарных дней с момента обращения в подразделение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документ, подтверждающий факт заключения договора банковского вклада (депозита), содержащий сведения о его существенных условиях, а также иные сведения, касающиеся обслуживания его вклада (депозита) (сведения об изменении процентов, о размере начисленных процентов, об увеличении суммы вклада (депозита) и т.п.);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пополнять вклад (депозит) в соответствии с настоящими Условиями и Договором путем внесения дополнительных взносов во вклад (депозит) в валюте вклада (депозита) наличными денежными средствами или путем безналичного перечисления в соответствии с законодательством, если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приостановлен (не прекращен) прием дополнительных взносов. Пополнение вклада (депозита) допускается первые 4 календарных дня срока хранения.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Иные условия.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Совершение расходных операций по вкладу (депозиту) производится при предъявлении Вкладчиком документа, удостоверяющего личность в соответствии с законодательством. Совершение расходных операций по вкладу (депозиту) представителем Вкладчика производится при предъявлении надлежаще оформленной доверенности и документа, удостоверяющего личность в соответствии с законодательством, непосредственно в подразделении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котором заключен Договор, если иное не установлено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Совершение расходных операций безналичным путем наследником, указанным в завещательном распоряжении, или наследником по закону или завещанию производится непосредственно в том подразделении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котором заключен Договор, если иное не установлено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 представлении следующих документов, которые остаются у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заявления о выдаче вклада (депозита) с указанием данных документа, удостоверяющего личность в соответствии с законодательством; копии свидетельства о праве на наследство, заверенной нотариально либо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либо иного документа, его заменяющего в соответствии с действующим законодательством.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удостоверяет верность копии свидетельства о праве на наследство (или иного документа) после сверки с оригиналом. Кроме того, наследник обязан предъявить документ, удостоверяющий личность в соответствии с законодательством.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Договор может быть расторгнут ранее установленного срока.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Условия Договора могут быть изменены по соглашению Вкладчика 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по требованию Вкладчика или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 оформляются в письменном виде и подписываются Вкладчиком 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 исключением изменений, указанных в подпункте 2.3.1 пункта 2.3 настоящих Условий.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3.4. Применение положений международных договоров Республики Беларусь по вопросам налогообложения по доходам Вкладчика - нерезидента в виде процентов по настоящему Договору осуществляется после представления Вкладчиком - нерезидентом в подразделение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котором открыт счет по учету вклада (депозита) по настоящему Договору, подтверждения того, что Вкладчик - нерезидент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Вкладчику в порядке, установленным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Вкладополучателем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Рабочий/нерабочий день определяется в соответствии с утвержденным в подразделении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где заключен Договор, режимом работы, который размещен на информационных стендах и официальном сайте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Вкладополучателя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E33FFD" w:rsidRPr="00E33FFD" w:rsidRDefault="00E33FFD" w:rsidP="00E33FFD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Заключением Договора Вкладчик дает согласие предоставление третьим лицам информации, составляющей его банковскую тайну.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(вне зависимости от суммы) в соответствии с законодательством.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Вкладополучатель</w:t>
      </w:r>
      <w:proofErr w:type="spellEnd"/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</w:t>
      </w:r>
      <w:r w:rsidRPr="00E33FFD">
        <w:rPr>
          <w:rFonts w:ascii="Times New Roman" w:eastAsiaTheme="minorEastAsia" w:hAnsi="Times New Roman" w:cs="Arial"/>
          <w:sz w:val="24"/>
          <w:szCs w:val="24"/>
          <w:lang w:eastAsia="ru-RU"/>
        </w:rPr>
        <w:t>№ 02 от 13.02.2019, выданной Национальным банком</w:t>
      </w:r>
      <w:r w:rsidRPr="00E3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3FFD" w:rsidRPr="00E33FFD" w:rsidRDefault="00E33FFD" w:rsidP="00E33F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B6919" w:rsidRPr="00E33FFD" w:rsidRDefault="007B6919" w:rsidP="00E33FFD"/>
    <w:sectPr w:rsidR="007B6919" w:rsidRPr="00E33FFD" w:rsidSect="00CB50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EE"/>
    <w:rsid w:val="007B6919"/>
    <w:rsid w:val="00956453"/>
    <w:rsid w:val="00C474EE"/>
    <w:rsid w:val="00E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3AC"/>
  <w15:chartTrackingRefBased/>
  <w15:docId w15:val="{1B714572-C238-4359-BB79-4D8A938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А.С.</dc:creator>
  <cp:keywords/>
  <dc:description/>
  <cp:lastModifiedBy>Довнар А.С.</cp:lastModifiedBy>
  <cp:revision>2</cp:revision>
  <dcterms:created xsi:type="dcterms:W3CDTF">2022-03-22T14:03:00Z</dcterms:created>
  <dcterms:modified xsi:type="dcterms:W3CDTF">2022-03-22T14:03:00Z</dcterms:modified>
</cp:coreProperties>
</file>